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ook w:firstColumn="1" w:firstRow="1" w:lastColumn="0" w:lastRow="0" w:noHBand="0" w:noVBand="1" w:val="04A0"/>
      </w:tblPr>
      <w:tblGrid>
        <w:gridCol w:w="4876"/>
        <w:gridCol w:w="4876"/>
      </w:tblGrid>
      <w:tr>
        <w:tc>
          <w:tcPr>
            <w:tcW w:type="dxa" w:w="4876"/>
          </w:tcPr>
          <w:p>
            <w:r>
              <w:rPr>
                <w:b w:val="0"/>
                <w:color w:val="6B6461"/>
                <w:sz w:val="18"/>
              </w:rPr>
              <w:t>[Dein Logo]</w:t>
            </w:r>
          </w:p>
        </w:tc>
        <w:tc>
          <w:tcPr>
            <w:tcW w:type="dxa" w:w="4876"/>
          </w:tcPr>
          <w:p>
            <w:pPr>
              <w:jc w:val="right"/>
            </w:pPr>
            <w:r>
              <w:rPr>
                <w:b w:val="0"/>
                <w:sz w:val="18"/>
              </w:rPr>
              <w:t>[Dein Firmenname]</w:t>
              <w:br/>
              <w:t>[Straße Hausnummer]</w:t>
              <w:br/>
              <w:t>[PLZ Ort]</w:t>
              <w:br/>
              <w:t>[Telefon] · [E-Mail]</w:t>
            </w:r>
          </w:p>
        </w:tc>
      </w:tr>
    </w:tbl>
    <w:p/>
    <w:p>
      <w:r>
        <w:rPr>
          <w:b/>
          <w:color w:val="A61703"/>
          <w:sz w:val="34"/>
        </w:rPr>
        <w:t>Wartungsvertrag</w:t>
      </w:r>
    </w:p>
    <w:p>
      <w:r>
        <w:rPr>
          <w:b w:val="0"/>
          <w:color w:val="6B6461"/>
          <w:sz w:val="16"/>
        </w:rPr>
        <w:t>Vertragsnummer WV-2026-0007 · Muster mit fiktiven Beispieldaten – ersetzt keine Rechtsberatung.</w:t>
      </w:r>
    </w:p>
    <w:p>
      <w:pPr>
        <w:keepNext/>
      </w:pPr>
      <w:r>
        <w:rPr>
          <w:b/>
          <w:sz w:val="22"/>
        </w:rPr>
        <w:t>§ 1 Vertragsparteien</w:t>
      </w:r>
    </w:p>
    <w:p>
      <w:r>
        <w:rPr>
          <w:b w:val="0"/>
          <w:color w:val="6B6461"/>
          <w:sz w:val="18"/>
        </w:rPr>
        <w:t xml:space="preserve">Auftragnehmer: </w:t>
      </w:r>
      <w:r>
        <w:rPr>
          <w:b w:val="0"/>
          <w:sz w:val="20"/>
        </w:rPr>
        <w:t>[Dein Firmenname], [Straße Hausnummer], [PLZ Ort]</w:t>
      </w:r>
    </w:p>
    <w:p>
      <w:r>
        <w:rPr>
          <w:b w:val="0"/>
          <w:color w:val="6B6461"/>
          <w:sz w:val="18"/>
        </w:rPr>
        <w:t xml:space="preserve">Auftraggeber: </w:t>
      </w:r>
      <w:r>
        <w:rPr>
          <w:b w:val="0"/>
          <w:sz w:val="20"/>
        </w:rPr>
        <w:t>Erika Muster, Musterweg 3, 12345 Musterstadt</w:t>
      </w:r>
    </w:p>
    <w:p>
      <w:r>
        <w:rPr>
          <w:b w:val="0"/>
          <w:color w:val="6B6461"/>
          <w:sz w:val="18"/>
        </w:rPr>
        <w:t xml:space="preserve">Kundennummer: </w:t>
      </w:r>
      <w:r>
        <w:rPr>
          <w:b w:val="0"/>
          <w:sz w:val="20"/>
        </w:rPr>
        <w:t>K-1017</w:t>
      </w:r>
    </w:p>
    <w:p>
      <w:pPr>
        <w:keepNext/>
      </w:pPr>
      <w:r>
        <w:rPr>
          <w:b/>
          <w:sz w:val="22"/>
        </w:rPr>
        <w:t>§ 2 Vertragsgegenstand und Anlage</w:t>
      </w:r>
    </w:p>
    <w:p>
      <w:r>
        <w:rPr>
          <w:b w:val="0"/>
          <w:sz w:val="20"/>
        </w:rPr>
        <w:t>Der Auftragnehmer übernimmt die regelmäßige Inspektion und Wartung der folgenden Anlage:</w:t>
      </w:r>
    </w:p>
    <w:p>
      <w:r>
        <w:rPr>
          <w:b w:val="0"/>
          <w:color w:val="6B6461"/>
          <w:sz w:val="18"/>
        </w:rPr>
        <w:t xml:space="preserve">Objekt / Standort: </w:t>
      </w:r>
      <w:r>
        <w:rPr>
          <w:b w:val="0"/>
          <w:sz w:val="20"/>
        </w:rPr>
        <w:t>Einfamilienhaus, Musterweg 3, 12345 Musterstadt</w:t>
      </w:r>
    </w:p>
    <w:p>
      <w:r>
        <w:rPr>
          <w:b w:val="0"/>
          <w:color w:val="6B6461"/>
          <w:sz w:val="18"/>
        </w:rPr>
        <w:t xml:space="preserve">Aufstellort: </w:t>
      </w:r>
      <w:r>
        <w:rPr>
          <w:b w:val="0"/>
          <w:sz w:val="20"/>
        </w:rPr>
        <w:t>Heizungsraum im Kellergeschoss</w:t>
      </w:r>
    </w:p>
    <w:p>
      <w:r>
        <w:rPr>
          <w:b w:val="0"/>
          <w:color w:val="6B6461"/>
          <w:sz w:val="18"/>
        </w:rPr>
        <w:t xml:space="preserve">Anlagentyp: </w:t>
      </w:r>
      <w:r>
        <w:rPr>
          <w:b w:val="0"/>
          <w:sz w:val="20"/>
        </w:rPr>
        <w:t>Gas-Brennwertkessel, wandhängend, 24 kW</w:t>
      </w:r>
    </w:p>
    <w:p>
      <w:r>
        <w:rPr>
          <w:b w:val="0"/>
          <w:color w:val="6B6461"/>
          <w:sz w:val="18"/>
        </w:rPr>
        <w:t xml:space="preserve">Hersteller / Typ: </w:t>
      </w:r>
      <w:r>
        <w:rPr>
          <w:b w:val="0"/>
          <w:sz w:val="20"/>
        </w:rPr>
        <w:t>Musterhersteller, Typ MB-24</w:t>
      </w:r>
    </w:p>
    <w:p>
      <w:r>
        <w:rPr>
          <w:b w:val="0"/>
          <w:color w:val="6B6461"/>
          <w:sz w:val="18"/>
        </w:rPr>
        <w:t xml:space="preserve">Baujahr / Seriennummer: </w:t>
      </w:r>
      <w:r>
        <w:rPr>
          <w:b w:val="0"/>
          <w:sz w:val="20"/>
        </w:rPr>
        <w:t>2019 / 0000-1234-5678</w:t>
      </w:r>
    </w:p>
    <w:p>
      <w:r>
        <w:rPr>
          <w:b w:val="0"/>
          <w:color w:val="6B6461"/>
          <w:sz w:val="18"/>
        </w:rPr>
        <w:t xml:space="preserve">Zubehör: </w:t>
      </w:r>
      <w:r>
        <w:rPr>
          <w:b w:val="0"/>
          <w:sz w:val="20"/>
        </w:rPr>
        <w:t>Warmwasserspeicher 150 l, Abgasanlage, Raumregler</w:t>
      </w:r>
    </w:p>
    <w:p>
      <w:r>
        <w:rPr>
          <w:b w:val="0"/>
          <w:sz w:val="20"/>
        </w:rPr>
        <w:t>Weitere Anlagen können per Nachtrag aufgenommen werden. Wird die Anlage wesentlich verändert oder ausgetauscht, teilt der Auftraggeber dies dem Auftragnehmer mit.</w:t>
      </w:r>
    </w:p>
    <w:p>
      <w:pPr>
        <w:keepNext/>
      </w:pPr>
      <w:r>
        <w:rPr>
          <w:b/>
          <w:sz w:val="22"/>
        </w:rPr>
        <w:t>§ 3 Leistungsumfang</w:t>
      </w:r>
    </w:p>
    <w:p>
      <w:r>
        <w:rPr>
          <w:b w:val="0"/>
          <w:sz w:val="20"/>
        </w:rPr>
        <w:t>Der Auftragnehmer führt die Inspektion und Wartung nach den Vorgaben des Herstellers und den anerkannten Regeln der Technik durch. Die Wartung umfasst insbesondere:</w:t>
      </w:r>
    </w:p>
    <w:tbl>
      <w:tblPr>
        <w:tblStyle w:val="TableGrid"/>
        <w:tblW w:type="auto" w:w="0"/>
        <w:jc w:val="left"/>
        <w:tblLook w:firstColumn="1" w:firstRow="1" w:lastColumn="0" w:lastRow="0" w:noHBand="0" w:noVBand="1" w:val="04A0"/>
      </w:tblPr>
      <w:tblGrid>
        <w:gridCol w:w="3251"/>
        <w:gridCol w:w="3251"/>
        <w:gridCol w:w="3251"/>
      </w:tblGrid>
      <w:tr>
        <w:tc>
          <w:tcPr>
            <w:tcW w:type="dxa" w:w="780"/>
            <w:shd w:val="clear" w:fill="F3EEEB"/>
          </w:tcPr>
          <w:p>
            <w:r>
              <w:rPr>
                <w:b/>
                <w:sz w:val="18"/>
              </w:rPr>
              <w:t>Nr.</w:t>
            </w:r>
          </w:p>
        </w:tc>
        <w:tc>
          <w:tcPr>
            <w:tcW w:type="dxa" w:w="7216"/>
            <w:shd w:val="clear" w:fill="F3EEEB"/>
          </w:tcPr>
          <w:p>
            <w:r>
              <w:rPr>
                <w:b/>
                <w:sz w:val="18"/>
              </w:rPr>
              <w:t>Prüf- und Wartungsleistung</w:t>
            </w:r>
          </w:p>
        </w:tc>
        <w:tc>
          <w:tcPr>
            <w:tcW w:type="dxa" w:w="1755"/>
            <w:shd w:val="clear" w:fill="F3EEEB"/>
          </w:tcPr>
          <w:p>
            <w:r>
              <w:rPr>
                <w:b/>
                <w:sz w:val="18"/>
              </w:rPr>
              <w:t>Intervall</w:t>
            </w:r>
          </w:p>
        </w:tc>
      </w:tr>
      <w:tr>
        <w:tc>
          <w:tcPr>
            <w:tcW w:type="dxa" w:w="780"/>
          </w:tcPr>
          <w:p>
            <w:r>
              <w:rPr>
                <w:b w:val="0"/>
                <w:sz w:val="18"/>
              </w:rPr>
              <w:t>1</w:t>
            </w:r>
          </w:p>
        </w:tc>
        <w:tc>
          <w:tcPr>
            <w:tcW w:type="dxa" w:w="7216"/>
          </w:tcPr>
          <w:p>
            <w:r>
              <w:rPr>
                <w:b w:val="0"/>
                <w:sz w:val="18"/>
              </w:rPr>
              <w:t>Sichtprüfung der Anlage auf Dichtheit, Beschädigung und Korrosion</w:t>
            </w:r>
          </w:p>
        </w:tc>
        <w:tc>
          <w:tcPr>
            <w:tcW w:type="dxa" w:w="1755"/>
          </w:tcPr>
          <w:p>
            <w:r>
              <w:rPr>
                <w:b w:val="0"/>
                <w:sz w:val="18"/>
              </w:rPr>
              <w:t>jährlich</w:t>
            </w:r>
          </w:p>
        </w:tc>
      </w:tr>
      <w:tr>
        <w:tc>
          <w:tcPr>
            <w:tcW w:type="dxa" w:w="780"/>
          </w:tcPr>
          <w:p>
            <w:r>
              <w:rPr>
                <w:b w:val="0"/>
                <w:sz w:val="18"/>
              </w:rPr>
              <w:t>2</w:t>
            </w:r>
          </w:p>
        </w:tc>
        <w:tc>
          <w:tcPr>
            <w:tcW w:type="dxa" w:w="7216"/>
          </w:tcPr>
          <w:p>
            <w:r>
              <w:rPr>
                <w:b w:val="0"/>
                <w:sz w:val="18"/>
              </w:rPr>
              <w:t>Reinigung von Brenner, Wärmetauscher, Brennkammer und Kondensatsiphon</w:t>
            </w:r>
          </w:p>
        </w:tc>
        <w:tc>
          <w:tcPr>
            <w:tcW w:type="dxa" w:w="1755"/>
          </w:tcPr>
          <w:p>
            <w:r>
              <w:rPr>
                <w:b w:val="0"/>
                <w:sz w:val="18"/>
              </w:rPr>
              <w:t>jährlich</w:t>
            </w:r>
          </w:p>
        </w:tc>
      </w:tr>
      <w:tr>
        <w:tc>
          <w:tcPr>
            <w:tcW w:type="dxa" w:w="780"/>
          </w:tcPr>
          <w:p>
            <w:r>
              <w:rPr>
                <w:b w:val="0"/>
                <w:sz w:val="18"/>
              </w:rPr>
              <w:t>3</w:t>
            </w:r>
          </w:p>
        </w:tc>
        <w:tc>
          <w:tcPr>
            <w:tcW w:type="dxa" w:w="7216"/>
          </w:tcPr>
          <w:p>
            <w:r>
              <w:rPr>
                <w:b w:val="0"/>
                <w:sz w:val="18"/>
              </w:rPr>
              <w:t>Abgas- und Verbrennungsmessung, Einstellung der Verbrennungswerte nach Herstellervorgabe</w:t>
            </w:r>
          </w:p>
        </w:tc>
        <w:tc>
          <w:tcPr>
            <w:tcW w:type="dxa" w:w="1755"/>
          </w:tcPr>
          <w:p>
            <w:r>
              <w:rPr>
                <w:b w:val="0"/>
                <w:sz w:val="18"/>
              </w:rPr>
              <w:t>jährlich</w:t>
            </w:r>
          </w:p>
        </w:tc>
      </w:tr>
      <w:tr>
        <w:tc>
          <w:tcPr>
            <w:tcW w:type="dxa" w:w="780"/>
          </w:tcPr>
          <w:p>
            <w:r>
              <w:rPr>
                <w:b w:val="0"/>
                <w:sz w:val="18"/>
              </w:rPr>
              <w:t>4</w:t>
            </w:r>
          </w:p>
        </w:tc>
        <w:tc>
          <w:tcPr>
            <w:tcW w:type="dxa" w:w="7216"/>
          </w:tcPr>
          <w:p>
            <w:r>
              <w:rPr>
                <w:b w:val="0"/>
                <w:sz w:val="18"/>
              </w:rPr>
              <w:t>Funktionsprüfung der Sicherheits-, Regel- und Überwachungseinrichtungen</w:t>
            </w:r>
          </w:p>
        </w:tc>
        <w:tc>
          <w:tcPr>
            <w:tcW w:type="dxa" w:w="1755"/>
          </w:tcPr>
          <w:p>
            <w:r>
              <w:rPr>
                <w:b w:val="0"/>
                <w:sz w:val="18"/>
              </w:rPr>
              <w:t>jährlich</w:t>
            </w:r>
          </w:p>
        </w:tc>
      </w:tr>
      <w:tr>
        <w:tc>
          <w:tcPr>
            <w:tcW w:type="dxa" w:w="780"/>
          </w:tcPr>
          <w:p>
            <w:r>
              <w:rPr>
                <w:b w:val="0"/>
                <w:sz w:val="18"/>
              </w:rPr>
              <w:t>5</w:t>
            </w:r>
          </w:p>
        </w:tc>
        <w:tc>
          <w:tcPr>
            <w:tcW w:type="dxa" w:w="7216"/>
          </w:tcPr>
          <w:p>
            <w:r>
              <w:rPr>
                <w:b w:val="0"/>
                <w:sz w:val="18"/>
              </w:rPr>
              <w:t>Prüfung von Anlagendruck, Ausdehnungsgefäß und Sicherheitsventil, ggf. Wasser nachfüllen</w:t>
            </w:r>
          </w:p>
        </w:tc>
        <w:tc>
          <w:tcPr>
            <w:tcW w:type="dxa" w:w="1755"/>
          </w:tcPr>
          <w:p>
            <w:r>
              <w:rPr>
                <w:b w:val="0"/>
                <w:sz w:val="18"/>
              </w:rPr>
              <w:t>jährlich</w:t>
            </w:r>
          </w:p>
        </w:tc>
      </w:tr>
      <w:tr>
        <w:tc>
          <w:tcPr>
            <w:tcW w:type="dxa" w:w="780"/>
          </w:tcPr>
          <w:p>
            <w:r>
              <w:rPr>
                <w:b w:val="0"/>
                <w:sz w:val="18"/>
              </w:rPr>
              <w:t>6</w:t>
            </w:r>
          </w:p>
        </w:tc>
        <w:tc>
          <w:tcPr>
            <w:tcW w:type="dxa" w:w="7216"/>
          </w:tcPr>
          <w:p>
            <w:r>
              <w:rPr>
                <w:b w:val="0"/>
                <w:sz w:val="18"/>
              </w:rPr>
              <w:t>Sichtkontrolle von Abgasleitung und Verbrennungsluftzufuhr</w:t>
            </w:r>
          </w:p>
        </w:tc>
        <w:tc>
          <w:tcPr>
            <w:tcW w:type="dxa" w:w="1755"/>
          </w:tcPr>
          <w:p>
            <w:r>
              <w:rPr>
                <w:b w:val="0"/>
                <w:sz w:val="18"/>
              </w:rPr>
              <w:t>jährlich</w:t>
            </w:r>
          </w:p>
        </w:tc>
      </w:tr>
      <w:tr>
        <w:tc>
          <w:tcPr>
            <w:tcW w:type="dxa" w:w="780"/>
          </w:tcPr>
          <w:p>
            <w:r>
              <w:rPr>
                <w:b w:val="0"/>
                <w:sz w:val="18"/>
              </w:rPr>
              <w:t>7</w:t>
            </w:r>
          </w:p>
        </w:tc>
        <w:tc>
          <w:tcPr>
            <w:tcW w:type="dxa" w:w="7216"/>
          </w:tcPr>
          <w:p>
            <w:r>
              <w:rPr>
                <w:b w:val="0"/>
                <w:sz w:val="18"/>
              </w:rPr>
              <w:t>Prüfung der Regelungseinstellungen (Heizkurve, Warmwasser, Zeitprogramme)</w:t>
            </w:r>
          </w:p>
        </w:tc>
        <w:tc>
          <w:tcPr>
            <w:tcW w:type="dxa" w:w="1755"/>
          </w:tcPr>
          <w:p>
            <w:r>
              <w:rPr>
                <w:b w:val="0"/>
                <w:sz w:val="18"/>
              </w:rPr>
              <w:t>jährlich</w:t>
            </w:r>
          </w:p>
        </w:tc>
      </w:tr>
      <w:tr>
        <w:tc>
          <w:tcPr>
            <w:tcW w:type="dxa" w:w="780"/>
          </w:tcPr>
          <w:p>
            <w:r>
              <w:rPr>
                <w:b w:val="0"/>
                <w:sz w:val="18"/>
              </w:rPr>
              <w:t>8</w:t>
            </w:r>
          </w:p>
        </w:tc>
        <w:tc>
          <w:tcPr>
            <w:tcW w:type="dxa" w:w="7216"/>
          </w:tcPr>
          <w:p>
            <w:r>
              <w:rPr>
                <w:b w:val="0"/>
                <w:sz w:val="18"/>
              </w:rPr>
              <w:t>Austausch der Verschleißteile laut Wartungsset des Herstellers (Material gesondert)</w:t>
            </w:r>
          </w:p>
        </w:tc>
        <w:tc>
          <w:tcPr>
            <w:tcW w:type="dxa" w:w="1755"/>
          </w:tcPr>
          <w:p>
            <w:r>
              <w:rPr>
                <w:b w:val="0"/>
                <w:sz w:val="18"/>
              </w:rPr>
              <w:t>nach Bedarf</w:t>
            </w:r>
          </w:p>
        </w:tc>
      </w:tr>
      <w:tr>
        <w:tc>
          <w:tcPr>
            <w:tcW w:type="dxa" w:w="780"/>
          </w:tcPr>
          <w:p>
            <w:r>
              <w:rPr>
                <w:b w:val="0"/>
                <w:sz w:val="18"/>
              </w:rPr>
            </w:r>
          </w:p>
        </w:tc>
        <w:tc>
          <w:tcPr>
            <w:tcW w:type="dxa" w:w="7216"/>
          </w:tcPr>
          <w:p>
            <w:r>
              <w:rPr>
                <w:b w:val="0"/>
                <w:sz w:val="18"/>
              </w:rPr>
            </w:r>
          </w:p>
        </w:tc>
        <w:tc>
          <w:tcPr>
            <w:tcW w:type="dxa" w:w="1755"/>
          </w:tcPr>
          <w:p>
            <w:r>
              <w:rPr>
                <w:b w:val="0"/>
                <w:sz w:val="18"/>
              </w:rPr>
            </w:r>
          </w:p>
        </w:tc>
      </w:tr>
      <w:tr>
        <w:tc>
          <w:tcPr>
            <w:tcW w:type="dxa" w:w="780"/>
          </w:tcPr>
          <w:p>
            <w:r>
              <w:rPr>
                <w:b w:val="0"/>
                <w:sz w:val="18"/>
              </w:rPr>
            </w:r>
          </w:p>
        </w:tc>
        <w:tc>
          <w:tcPr>
            <w:tcW w:type="dxa" w:w="7216"/>
          </w:tcPr>
          <w:p>
            <w:r>
              <w:rPr>
                <w:b w:val="0"/>
                <w:sz w:val="18"/>
              </w:rPr>
            </w:r>
          </w:p>
        </w:tc>
        <w:tc>
          <w:tcPr>
            <w:tcW w:type="dxa" w:w="1755"/>
          </w:tcPr>
          <w:p>
            <w:r>
              <w:rPr>
                <w:b w:val="0"/>
                <w:sz w:val="18"/>
              </w:rPr>
            </w:r>
          </w:p>
        </w:tc>
      </w:tr>
    </w:tbl>
    <w:p/>
    <w:p>
      <w:pPr>
        <w:keepNext/>
      </w:pPr>
      <w:r>
        <w:rPr>
          <w:b/>
          <w:sz w:val="22"/>
        </w:rPr>
        <w:t>§ 4 Ausgeschlossene Leistungen</w:t>
      </w:r>
    </w:p>
    <w:p>
      <w:r>
        <w:rPr>
          <w:b w:val="0"/>
          <w:sz w:val="20"/>
        </w:rPr>
        <w:t>Nicht in der Wartungspauschale enthalten sind: Reparaturen und Störungsbeseitigungen außerhalb der Wartung, Material, Ersatz- und Verschleißteile, der Austausch ganzer Anlagenteile, Notdiensteinsätze sowie die Messungen und Überprüfungen des bevollmächtigten Bezirksschornsteinfegers. Ebenfalls nicht enthalten ist die Beseitigung von Schäden durch unsachgemäße Bedienung, Eingriffe Dritter oder höhere Gewalt.</w:t>
      </w:r>
    </w:p>
    <w:p>
      <w:pPr>
        <w:keepNext/>
      </w:pPr>
      <w:r>
        <w:rPr>
          <w:b/>
          <w:sz w:val="22"/>
        </w:rPr>
        <w:t>§ 5 Wartungsintervall und Termine</w:t>
      </w:r>
    </w:p>
    <w:p>
      <w:r>
        <w:rPr>
          <w:b w:val="0"/>
          <w:color w:val="6B6461"/>
          <w:sz w:val="18"/>
        </w:rPr>
        <w:t xml:space="preserve">Wartungsintervall: </w:t>
      </w:r>
      <w:r>
        <w:rPr>
          <w:b w:val="0"/>
          <w:sz w:val="20"/>
        </w:rPr>
        <w:t>jährlich (alle 12 Monate)</w:t>
      </w:r>
    </w:p>
    <w:p>
      <w:r>
        <w:rPr>
          <w:b w:val="0"/>
          <w:color w:val="6B6461"/>
          <w:sz w:val="18"/>
        </w:rPr>
        <w:t xml:space="preserve">Erste Wartung: </w:t>
      </w:r>
      <w:r>
        <w:rPr>
          <w:b w:val="0"/>
          <w:sz w:val="20"/>
        </w:rPr>
        <w:t>November 2026</w:t>
      </w:r>
    </w:p>
    <w:p>
      <w:r>
        <w:rPr>
          <w:b w:val="0"/>
          <w:color w:val="6B6461"/>
          <w:sz w:val="18"/>
        </w:rPr>
        <w:t xml:space="preserve">Folgetermine: </w:t>
      </w:r>
      <w:r>
        <w:rPr>
          <w:b w:val="0"/>
          <w:sz w:val="20"/>
        </w:rPr>
        <w:t>jährlich, bevorzugt Mai bis September</w:t>
      </w:r>
    </w:p>
    <w:p>
      <w:r>
        <w:rPr>
          <w:b w:val="0"/>
          <w:sz w:val="20"/>
        </w:rPr>
        <w:t>Der Auftragnehmer schlägt den Wartungstermin rechtzeitig vor, in der Regel mindestens zwei Wochen vorher. Der Auftraggeber sorgt dafür, dass die Anlage zum vereinbarten Termin zugänglich ist. Fällt ein Termin aus, vereinbaren die Parteien zeitnah einen Ersatztermin.</w:t>
      </w:r>
    </w:p>
    <w:p>
      <w:pPr>
        <w:keepNext/>
      </w:pPr>
      <w:r>
        <w:rPr>
          <w:b/>
          <w:sz w:val="22"/>
        </w:rPr>
        <w:t>§ 6 Vergütung und Abrechnung</w:t>
      </w:r>
    </w:p>
    <w:tbl>
      <w:tblPr>
        <w:tblStyle w:val="TableGrid"/>
        <w:tblW w:type="auto" w:w="0"/>
        <w:jc w:val="left"/>
        <w:tblLook w:firstColumn="1" w:firstRow="1" w:lastColumn="0" w:lastRow="0" w:noHBand="0" w:noVBand="1" w:val="04A0"/>
      </w:tblPr>
      <w:tblGrid>
        <w:gridCol w:w="3251"/>
        <w:gridCol w:w="3251"/>
        <w:gridCol w:w="3251"/>
      </w:tblGrid>
      <w:tr>
        <w:tc>
          <w:tcPr>
            <w:tcW w:type="dxa" w:w="5851"/>
            <w:shd w:val="clear" w:fill="F3EEEB"/>
          </w:tcPr>
          <w:p>
            <w:r>
              <w:rPr>
                <w:b/>
                <w:sz w:val="18"/>
              </w:rPr>
              <w:t>Leistung</w:t>
            </w:r>
          </w:p>
        </w:tc>
        <w:tc>
          <w:tcPr>
            <w:tcW w:type="dxa" w:w="1950"/>
            <w:shd w:val="clear" w:fill="F3EEEB"/>
          </w:tcPr>
          <w:p>
            <w:r>
              <w:rPr>
                <w:b/>
                <w:sz w:val="18"/>
              </w:rPr>
              <w:t>netto</w:t>
            </w:r>
          </w:p>
        </w:tc>
        <w:tc>
          <w:tcPr>
            <w:tcW w:type="dxa" w:w="1950"/>
            <w:shd w:val="clear" w:fill="F3EEEB"/>
          </w:tcPr>
          <w:p>
            <w:r>
              <w:rPr>
                <w:b/>
                <w:sz w:val="18"/>
              </w:rPr>
              <w:t>brutto (19 % USt)</w:t>
            </w:r>
          </w:p>
        </w:tc>
      </w:tr>
      <w:tr>
        <w:tc>
          <w:tcPr>
            <w:tcW w:type="dxa" w:w="5851"/>
          </w:tcPr>
          <w:p>
            <w:r>
              <w:rPr>
                <w:b w:val="0"/>
                <w:sz w:val="18"/>
              </w:rPr>
              <w:t>Wartungspauschale pro Jahr für den Leistungsumfang nach § 3, inkl. Anfahrt</w:t>
            </w:r>
          </w:p>
        </w:tc>
        <w:tc>
          <w:tcPr>
            <w:tcW w:type="dxa" w:w="1950"/>
          </w:tcPr>
          <w:p>
            <w:r>
              <w:rPr>
                <w:b w:val="0"/>
                <w:sz w:val="18"/>
              </w:rPr>
              <w:t>189,00 €</w:t>
            </w:r>
          </w:p>
        </w:tc>
        <w:tc>
          <w:tcPr>
            <w:tcW w:type="dxa" w:w="1950"/>
          </w:tcPr>
          <w:p>
            <w:r>
              <w:rPr>
                <w:b w:val="0"/>
                <w:sz w:val="18"/>
              </w:rPr>
              <w:t>224,91 €</w:t>
            </w:r>
          </w:p>
        </w:tc>
      </w:tr>
      <w:tr>
        <w:tc>
          <w:tcPr>
            <w:tcW w:type="dxa" w:w="5851"/>
          </w:tcPr>
          <w:p>
            <w:r>
              <w:rPr>
                <w:b w:val="0"/>
                <w:sz w:val="18"/>
              </w:rPr>
              <w:t>Anfahrtspauschale je zusätzlichem Einsatz (z. B. Störung, Reparatur)</w:t>
            </w:r>
          </w:p>
        </w:tc>
        <w:tc>
          <w:tcPr>
            <w:tcW w:type="dxa" w:w="1950"/>
          </w:tcPr>
          <w:p>
            <w:r>
              <w:rPr>
                <w:b w:val="0"/>
                <w:sz w:val="18"/>
              </w:rPr>
              <w:t>39,00 €</w:t>
            </w:r>
          </w:p>
        </w:tc>
        <w:tc>
          <w:tcPr>
            <w:tcW w:type="dxa" w:w="1950"/>
          </w:tcPr>
          <w:p>
            <w:r>
              <w:rPr>
                <w:b w:val="0"/>
                <w:sz w:val="18"/>
              </w:rPr>
              <w:t>46,41 €</w:t>
            </w:r>
          </w:p>
        </w:tc>
      </w:tr>
      <w:tr>
        <w:tc>
          <w:tcPr>
            <w:tcW w:type="dxa" w:w="5851"/>
          </w:tcPr>
          <w:p>
            <w:r>
              <w:rPr>
                <w:b w:val="0"/>
                <w:sz w:val="18"/>
              </w:rPr>
              <w:t>Zusatzarbeiten und Reparaturen je Arbeitsstunde</w:t>
            </w:r>
          </w:p>
        </w:tc>
        <w:tc>
          <w:tcPr>
            <w:tcW w:type="dxa" w:w="1950"/>
          </w:tcPr>
          <w:p>
            <w:r>
              <w:rPr>
                <w:b w:val="0"/>
                <w:sz w:val="18"/>
              </w:rPr>
              <w:t>62,00 €</w:t>
            </w:r>
          </w:p>
        </w:tc>
        <w:tc>
          <w:tcPr>
            <w:tcW w:type="dxa" w:w="1950"/>
          </w:tcPr>
          <w:p>
            <w:r>
              <w:rPr>
                <w:b w:val="0"/>
                <w:sz w:val="18"/>
              </w:rPr>
              <w:t>73,78 €</w:t>
            </w:r>
          </w:p>
        </w:tc>
      </w:tr>
      <w:tr>
        <w:tc>
          <w:tcPr>
            <w:tcW w:type="dxa" w:w="5851"/>
          </w:tcPr>
          <w:p>
            <w:r>
              <w:rPr>
                <w:b w:val="0"/>
                <w:sz w:val="18"/>
              </w:rPr>
              <w:t>Material, Ersatzteile und Verschleißteile</w:t>
            </w:r>
          </w:p>
        </w:tc>
        <w:tc>
          <w:tcPr>
            <w:tcW w:type="dxa" w:w="1950"/>
          </w:tcPr>
          <w:p>
            <w:r>
              <w:rPr>
                <w:b w:val="0"/>
                <w:sz w:val="18"/>
              </w:rPr>
              <w:t>nach Verbrauch</w:t>
            </w:r>
          </w:p>
        </w:tc>
        <w:tc>
          <w:tcPr>
            <w:tcW w:type="dxa" w:w="1950"/>
          </w:tcPr>
          <w:p>
            <w:r>
              <w:rPr>
                <w:b w:val="0"/>
                <w:sz w:val="18"/>
              </w:rPr>
              <w:t>nach Verbrauch</w:t>
            </w:r>
          </w:p>
        </w:tc>
      </w:tr>
    </w:tbl>
    <w:p/>
    <w:p>
      <w:r>
        <w:rPr>
          <w:b w:val="0"/>
          <w:color w:val="6B6461"/>
          <w:sz w:val="18"/>
        </w:rPr>
        <w:t xml:space="preserve">Abrechnung: </w:t>
      </w:r>
      <w:r>
        <w:rPr>
          <w:b w:val="0"/>
          <w:sz w:val="20"/>
        </w:rPr>
        <w:t>jährlich im Voraus zu Beginn des Vertragsjahres</w:t>
      </w:r>
    </w:p>
    <w:p>
      <w:r>
        <w:rPr>
          <w:b w:val="0"/>
          <w:color w:val="6B6461"/>
          <w:sz w:val="18"/>
        </w:rPr>
        <w:t xml:space="preserve">Zahlungsziel: </w:t>
      </w:r>
      <w:r>
        <w:rPr>
          <w:b w:val="0"/>
          <w:sz w:val="20"/>
        </w:rPr>
        <w:t>14 Tage nach Rechnungsstellung ohne Abzug</w:t>
      </w:r>
    </w:p>
    <w:p>
      <w:r>
        <w:rPr>
          <w:b w:val="0"/>
          <w:sz w:val="20"/>
        </w:rPr>
        <w:t>Alternativ kann eine quartalsweise Abrechnung im Voraus vereinbart werden, jeweils ein Viertel der Jahrespauschale. Zusatzarbeiten führt der Auftragnehmer nur nach Rücksprache mit dem Auftraggeber aus und rechnet sie nach den oben genannten Sätzen gesondert ab. Eine Änderung der Preise bedarf einer Vereinbarung in Textform.</w:t>
      </w:r>
    </w:p>
    <w:p>
      <w:r>
        <w:rPr>
          <w:b w:val="0"/>
          <w:color w:val="6B6461"/>
          <w:sz w:val="16"/>
        </w:rPr>
        <w:t>In der Wartungspauschale und in Zusatzarbeiten enthaltene Lohnkosten weist der Auftragnehmer auf der Rechnung gesondert aus. Privatkunden können sie nach § 35a EStG steuerlich geltend machen.</w:t>
      </w:r>
    </w:p>
    <w:p>
      <w:pPr>
        <w:keepNext/>
      </w:pPr>
      <w:r>
        <w:rPr>
          <w:b/>
          <w:sz w:val="22"/>
        </w:rPr>
        <w:t>§ 7 Laufzeit und Kündigung</w:t>
      </w:r>
    </w:p>
    <w:p>
      <w:r>
        <w:rPr>
          <w:b w:val="0"/>
          <w:sz w:val="20"/>
        </w:rPr>
        <w:t>Der Vertrag beginnt am 01.11.2026 und wird für eine Erstlaufzeit von 12 Monaten geschlossen. Er kann von beiden Parteien mit einer Frist von einem Monat zum Ende der Erstlaufzeit gekündigt werden. Wird er nicht gekündigt, läuft er auf unbestimmte Zeit weiter und kann dann jederzeit mit einer Frist von einem Monat gekündigt werden. Die Kündigung bedarf der Textform (z. B. E-Mail). Das Recht zur außerordentlichen Kündigung aus wichtigem Grund bleibt unberührt.</w:t>
      </w:r>
    </w:p>
    <w:p>
      <w:r>
        <w:rPr>
          <w:b w:val="0"/>
          <w:color w:val="6B6461"/>
          <w:sz w:val="16"/>
        </w:rPr>
        <w:t>Hinweis für Verbraucher: Wurde der Vertrag außerhalb der Geschäftsräume des Auftragnehmers oder per Fernkommunikation geschlossen, steht dem Auftraggeber ein 14-tägiges Widerrufsrecht zu. Die Widerrufsbelehrung liegt bei.</w:t>
      </w:r>
    </w:p>
    <w:p>
      <w:pPr>
        <w:keepNext/>
      </w:pPr>
      <w:r>
        <w:rPr>
          <w:b/>
          <w:sz w:val="22"/>
        </w:rPr>
        <w:t>§ 8 Haftung und Gewährleistung</w:t>
      </w:r>
    </w:p>
    <w:p>
      <w:r>
        <w:rPr>
          <w:b w:val="0"/>
          <w:sz w:val="20"/>
        </w:rPr>
        <w:t>Für die im Rahmen der Wartung erbrachten Leistungen gelten die gesetzlichen Mängelrechte. Der Auftragnehmer haftet unbeschränkt bei Vorsatz und grober Fahrlässigkeit sowie für Schäden aus der Verletzung des Lebens, des Körpers oder der Gesundheit. Bei leicht fahrlässiger Verletzung wesentlicher Vertragspflichten ist die Haftung auf den vertragstypischen, vorhersehbaren Schaden begrenzt. Die Haftung nach dem Produkthaftungsgesetz bleibt unberührt. Die Wartung ist keine Garantie für einen störungsfreien Betrieb der Anlage.</w:t>
      </w:r>
    </w:p>
    <w:p>
      <w:pPr>
        <w:keepNext/>
      </w:pPr>
      <w:r>
        <w:rPr>
          <w:b/>
          <w:sz w:val="22"/>
        </w:rPr>
        <w:t>§ 9 Dokumentation und Wartungsprotokoll</w:t>
      </w:r>
    </w:p>
    <w:p>
      <w:r>
        <w:rPr>
          <w:b w:val="0"/>
          <w:sz w:val="20"/>
        </w:rPr>
        <w:t>Über jede Wartung erstellt der Auftragnehmer ein Wartungsprotokoll mit Datum, durchgeführten Arbeiten, Messwerten, festgestellten Mängeln und Empfehlungen. Der Auftraggeber erhält eine Ausfertigung auf Papier oder als PDF. Mängel, die die Betriebssicherheit gefährden, teilt der Auftragnehmer sofort mit; notwendige Reparaturen bietet er gesondert an.</w:t>
      </w:r>
    </w:p>
    <w:p>
      <w:pPr>
        <w:keepNext/>
      </w:pPr>
      <w:r>
        <w:rPr>
          <w:b/>
          <w:sz w:val="22"/>
        </w:rPr>
        <w:t>§ 10 Schlussbestimmungen</w:t>
      </w:r>
    </w:p>
    <w:p>
      <w:r>
        <w:rPr>
          <w:b w:val="0"/>
          <w:sz w:val="20"/>
        </w:rPr>
        <w:t>Änderungen und Ergänzungen dieses Vertrags bedürfen der Textform. Ist eine Bestimmung unwirksam, bleibt der Vertrag im Übrigen wirksam; an die Stelle der unwirksamen Bestimmung treten die gesetzlichen Vorschriften. Der Auftragnehmer verarbeitet die Daten des Auftraggebers zur Durchführung dieses Vertrags (Art. 6 Abs. 1 lit. b DSGVO); Details enthält die Datenschutzerklärung unter [Link]. Es gilt deutsches Recht.</w:t>
      </w:r>
    </w:p>
    <w:p/>
    <w:tbl>
      <w:tblPr>
        <w:tblW w:type="auto" w:w="0"/>
        <w:jc w:val="left"/>
        <w:tblLook w:firstColumn="1" w:firstRow="1" w:lastColumn="0" w:lastRow="0" w:noHBand="0" w:noVBand="1" w:val="04A0"/>
      </w:tblPr>
      <w:tblGrid>
        <w:gridCol w:w="4876"/>
        <w:gridCol w:w="4876"/>
      </w:tblGrid>
      <w:tr>
        <w:tc>
          <w:tcPr>
            <w:tcW w:type="dxa" w:w="4876"/>
          </w:tcPr>
          <w:p>
            <w:r>
              <w:rPr>
                <w:b w:val="0"/>
                <w:sz w:val="18"/>
              </w:rPr>
              <w:br/>
              <w:br/>
              <w:t>_______________________________</w:t>
            </w:r>
          </w:p>
        </w:tc>
        <w:tc>
          <w:tcPr>
            <w:tcW w:type="dxa" w:w="4876"/>
          </w:tcPr>
          <w:p>
            <w:r>
              <w:rPr>
                <w:b w:val="0"/>
                <w:sz w:val="18"/>
              </w:rPr>
              <w:br/>
              <w:br/>
              <w:t>_______________________________</w:t>
            </w:r>
          </w:p>
        </w:tc>
      </w:tr>
      <w:tr>
        <w:tc>
          <w:tcPr>
            <w:tcW w:type="dxa" w:w="4876"/>
          </w:tcPr>
          <w:p>
            <w:r>
              <w:rPr>
                <w:b w:val="0"/>
                <w:color w:val="6B6461"/>
                <w:sz w:val="16"/>
              </w:rPr>
              <w:t>Auftraggeber: Ort, Datum, Unterschrift</w:t>
            </w:r>
          </w:p>
        </w:tc>
        <w:tc>
          <w:tcPr>
            <w:tcW w:type="dxa" w:w="4876"/>
          </w:tcPr>
          <w:p>
            <w:r>
              <w:rPr>
                <w:b w:val="0"/>
                <w:color w:val="6B6461"/>
                <w:sz w:val="16"/>
              </w:rPr>
              <w:t>Auftragnehmer: Ort, Datum, Unterschrift</w:t>
            </w:r>
          </w:p>
        </w:tc>
      </w:tr>
    </w:tbl>
    <w:p/>
    <w:p>
      <w:r>
        <w:rPr>
          <w:b w:val="0"/>
          <w:color w:val="6B6461"/>
          <w:sz w:val="16"/>
        </w:rPr>
        <w:t>Hinweis zur Vorlage (vor Verwendung entfernen): Dieses Muster ersetzt keine Rechtsberatung. Passe Leistungsumfang, Preise und Laufzeit an deinen Betrieb an und lass die Regelungen zu Laufzeit, Haftung und Preisanpassung vor dem Einsatz rechtlich prüfen.</w:t>
      </w:r>
    </w:p>
    <w:sectPr w:rsidR="00FC693F" w:rsidRPr="0006063C" w:rsidSect="00034616">
      <w:footerReference w:type="default" r:id="rId9"/>
      <w:pgSz w:w="11906" w:h="16838"/>
      <w:pgMar w:top="850" w:right="1020" w:bottom="141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6461"/>
        <w:sz w:val="14"/>
      </w:rPr>
      <w:t>[Dein Firmenname] · Inhaber: [Name] · [Straße Hausnummer], [PLZ Ort]   |   Steuernummer: [Nummer] · USt-IdNr.: [DE…] · Handwerkskammer: [Kammer]   |   Bank: [Bankname] · IBAN: [DE00 0000 0000 0000 0000 00] · BIC: [BIC]</w:t>
    </w:r>
  </w:p>
  <w:p>
    <w:pPr>
      <w:jc w:val="right"/>
    </w:pPr>
    <w:r>
      <w:rPr>
        <w:b w:val="0"/>
        <w:color w:val="6B6461"/>
        <w:sz w:val="14"/>
      </w:rPr>
      <w:t>Kostenlose Vorlage von hawepro.de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Wartungsvertrag – Vorlage</dc:title>
  <dc:subject/>
  <dc:creator>Hawepro</dc:creator>
  <cp:keywords/>
  <dc:description>generated by python-docx</dc:description>
  <cp:lastModifiedBy>Hawepro</cp:lastModifiedBy>
  <cp:revision>1</cp:revision>
  <dcterms:created xsi:type="dcterms:W3CDTF">2026-09-24T00:00:00Z</dcterms:created>
  <dcterms:modified xsi:type="dcterms:W3CDTF">2026-09-24T00:00:00Z</dcterms:modified>
  <cp:category/>
</cp:coreProperties>
</file>